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56a56c6" w14:textId="56a56c6">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3818B7"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4B452A">
              <w:rPr>
                <w:rFonts w:ascii="Arial" w:hAnsi="Arial" w:cs="Arial"/>
              </w:rPr>
              <w:t>351</w:t>
            </w:r>
            <w:r w:rsidRPr="00E32E7B" w:rsidR="00340399">
              <w:rPr>
                <w:rFonts w:ascii="Arial" w:hAnsi="Arial" w:cs="Arial"/>
              </w:rPr>
              <w:t>/</w:t>
            </w:r>
            <w:r w:rsidR="00776050">
              <w:rPr>
                <w:rFonts w:ascii="Arial" w:hAnsi="Arial" w:cs="Arial"/>
              </w:rPr>
              <w:t>202</w:t>
            </w:r>
            <w:r w:rsidR="00544718">
              <w:rPr>
                <w:rFonts w:ascii="Arial" w:hAnsi="Arial" w:cs="Arial"/>
              </w:rPr>
              <w:t>3</w:t>
            </w:r>
            <w:r w:rsidRPr="00E32E7B" w:rsidR="00891079">
              <w:rPr>
                <w:rFonts w:ascii="Arial" w:hAnsi="Arial" w:cs="Arial"/>
              </w:rPr>
              <w:t>-</w:t>
            </w:r>
            <w:r w:rsidR="003818B7">
              <w:rPr>
                <w:rFonts w:ascii="Arial" w:hAnsi="Arial" w:cs="Arial"/>
              </w:rPr>
              <w:t>27</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544718">
        <w:rPr>
          <w:rFonts w:ascii="Arial" w:hAnsi="Arial" w:eastAsia="Times New Roman" w:cs="Arial"/>
          <w:sz w:val="24"/>
          <w:szCs w:val="24"/>
          <w:lang w:eastAsia="hr-HR"/>
        </w:rPr>
        <w:t>1</w:t>
      </w:r>
      <w:r w:rsidR="004B452A">
        <w:rPr>
          <w:rFonts w:ascii="Arial" w:hAnsi="Arial" w:eastAsia="Times New Roman" w:cs="Arial"/>
          <w:sz w:val="24"/>
          <w:szCs w:val="24"/>
          <w:lang w:eastAsia="hr-HR"/>
        </w:rPr>
        <w:t>2</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siječnja</w:t>
      </w:r>
      <w:r w:rsidRPr="00E32E7B" w:rsidR="005D6DF6">
        <w:rPr>
          <w:rFonts w:ascii="Arial" w:hAnsi="Arial" w:eastAsia="Times New Roman" w:cs="Arial"/>
          <w:sz w:val="24"/>
          <w:szCs w:val="24"/>
          <w:lang w:eastAsia="hr-HR"/>
        </w:rPr>
        <w:t xml:space="preserve"> 202</w:t>
      </w:r>
      <w:r w:rsidR="00544718">
        <w:rPr>
          <w:rFonts w:ascii="Arial" w:hAnsi="Arial" w:eastAsia="Times New Roman" w:cs="Arial"/>
          <w:sz w:val="24"/>
          <w:szCs w:val="24"/>
          <w:lang w:eastAsia="hr-HR"/>
        </w:rPr>
        <w:t>4</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AD213B" w:rsidR="00891079" w:rsidP="004B452A" w:rsidRDefault="008C5CEC">
      <w:pPr>
        <w:spacing w:after="0" w:line="240" w:lineRule="auto"/>
        <w:jc w:val="center"/>
        <w:rPr>
          <w:rFonts w:ascii="Arial" w:hAnsi="Arial" w:eastAsia="Times New Roman" w:cs="Arial"/>
          <w:sz w:val="24"/>
          <w:szCs w:val="24"/>
          <w:lang w:eastAsia="hr-HR"/>
        </w:rPr>
      </w:pPr>
      <w:r w:rsidRPr="00AD213B">
        <w:rPr>
          <w:rFonts w:ascii="Arial" w:hAnsi="Arial" w:eastAsia="Times New Roman" w:cs="Arial"/>
          <w:sz w:val="24"/>
          <w:szCs w:val="24"/>
          <w:lang w:eastAsia="hr-HR"/>
        </w:rPr>
        <w:t xml:space="preserve">o održanom ispitnom i izvještajnom ročištu </w:t>
      </w:r>
      <w:r w:rsidRPr="00AD213B" w:rsidR="003D557F">
        <w:rPr>
          <w:rFonts w:ascii="Arial" w:hAnsi="Arial" w:eastAsia="Times New Roman" w:cs="Arial"/>
          <w:sz w:val="24"/>
          <w:szCs w:val="24"/>
          <w:lang w:eastAsia="hr-HR"/>
        </w:rPr>
        <w:t xml:space="preserve">u stečajnom postupku nad </w:t>
      </w:r>
      <w:r w:rsidRPr="00AD213B" w:rsidR="00891079">
        <w:rPr>
          <w:rFonts w:ascii="Arial" w:hAnsi="Arial" w:eastAsia="Times New Roman" w:cs="Arial"/>
          <w:sz w:val="24"/>
          <w:szCs w:val="24"/>
          <w:lang w:eastAsia="hr-HR"/>
        </w:rPr>
        <w:t>dužnikom</w:t>
      </w:r>
    </w:p>
    <w:p w:rsidRPr="00AD213B" w:rsidR="004B452A" w:rsidP="004B452A" w:rsidRDefault="004B452A">
      <w:pPr>
        <w:spacing w:after="0" w:line="240" w:lineRule="auto"/>
        <w:jc w:val="center"/>
        <w:rPr>
          <w:rFonts w:ascii="Arial" w:hAnsi="Arial" w:eastAsia="Times New Roman" w:cs="Arial"/>
          <w:sz w:val="24"/>
          <w:szCs w:val="24"/>
          <w:lang w:eastAsia="hr-HR"/>
        </w:rPr>
      </w:pPr>
      <w:r w:rsidRPr="00AD213B">
        <w:rPr>
          <w:rFonts w:ascii="Arial" w:hAnsi="Arial" w:eastAsia="Times New Roman" w:cs="Arial"/>
          <w:sz w:val="24"/>
          <w:szCs w:val="24"/>
          <w:lang w:eastAsia="hr-HR"/>
        </w:rPr>
        <w:t>Stečajna masa iza  PUT d.o.o. u likvidaciji, Varaždin,</w:t>
      </w:r>
    </w:p>
    <w:p w:rsidRPr="00AD213B" w:rsidR="003D557F" w:rsidP="004B452A" w:rsidRDefault="004B452A">
      <w:pPr>
        <w:spacing w:after="0" w:line="240" w:lineRule="auto"/>
        <w:jc w:val="center"/>
        <w:rPr>
          <w:rFonts w:ascii="Arial" w:hAnsi="Arial" w:eastAsia="Times New Roman" w:cs="Arial"/>
          <w:sz w:val="24"/>
          <w:szCs w:val="24"/>
          <w:lang w:eastAsia="hr-HR"/>
        </w:rPr>
      </w:pPr>
      <w:r w:rsidRPr="00AD213B">
        <w:rPr>
          <w:rFonts w:ascii="Arial" w:hAnsi="Arial" w:eastAsia="Times New Roman" w:cs="Arial"/>
          <w:sz w:val="24"/>
          <w:szCs w:val="24"/>
          <w:lang w:eastAsia="hr-HR"/>
        </w:rPr>
        <w:t>Kratka ulica 2, OIB:60258288716</w:t>
      </w:r>
    </w:p>
    <w:p w:rsidRPr="00E32E7B" w:rsidR="004B452A" w:rsidP="004B452A" w:rsidRDefault="004B452A">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4B452A">
        <w:rPr>
          <w:rFonts w:ascii="Arial" w:hAnsi="Arial" w:eastAsia="Times New Roman" w:cs="Arial"/>
          <w:sz w:val="24"/>
          <w:szCs w:val="24"/>
          <w:lang w:eastAsia="hr-HR"/>
        </w:rPr>
        <w:t>10</w:t>
      </w:r>
      <w:r w:rsidR="00B54C5A">
        <w:rPr>
          <w:rFonts w:ascii="Arial" w:hAnsi="Arial" w:eastAsia="Times New Roman" w:cs="Arial"/>
          <w:sz w:val="24"/>
          <w:szCs w:val="24"/>
          <w:lang w:eastAsia="hr-HR"/>
        </w:rPr>
        <w:t>,</w:t>
      </w:r>
      <w:r w:rsidR="00544718">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544718">
        <w:rPr>
          <w:rFonts w:ascii="Arial" w:hAnsi="Arial" w:eastAsia="Times New Roman" w:cs="Arial"/>
          <w:sz w:val="24"/>
          <w:szCs w:val="24"/>
          <w:lang w:eastAsia="hr-HR"/>
        </w:rPr>
        <w:t>0</w:t>
      </w:r>
      <w:r w:rsidR="004B452A">
        <w:rPr>
          <w:rFonts w:ascii="Arial" w:hAnsi="Arial" w:eastAsia="Times New Roman" w:cs="Arial"/>
          <w:sz w:val="24"/>
          <w:szCs w:val="24"/>
          <w:lang w:eastAsia="hr-HR"/>
        </w:rPr>
        <w:t>4</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listopada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544718">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124747" w:rsidR="003D557F" w:rsidP="003D557F" w:rsidRDefault="00147D7D">
      <w:pPr>
        <w:spacing w:after="0" w:line="240" w:lineRule="auto"/>
        <w:jc w:val="both"/>
        <w:rPr>
          <w:rFonts w:ascii="Arial" w:hAnsi="Arial" w:eastAsia="Times New Roman" w:cs="Arial"/>
          <w:sz w:val="24"/>
          <w:szCs w:val="24"/>
          <w:lang w:eastAsia="hr-HR"/>
        </w:rPr>
      </w:pPr>
      <w:r w:rsidRPr="00124747">
        <w:rPr>
          <w:rFonts w:ascii="Arial" w:hAnsi="Arial" w:eastAsia="Times New Roman" w:cs="Arial"/>
          <w:sz w:val="24"/>
          <w:szCs w:val="24"/>
          <w:lang w:eastAsia="hr-HR"/>
        </w:rPr>
        <w:t>- stečajn</w:t>
      </w:r>
      <w:r w:rsidRPr="00124747" w:rsidR="00752D2F">
        <w:rPr>
          <w:rFonts w:ascii="Arial" w:hAnsi="Arial" w:eastAsia="Times New Roman" w:cs="Arial"/>
          <w:sz w:val="24"/>
          <w:szCs w:val="24"/>
          <w:lang w:eastAsia="hr-HR"/>
        </w:rPr>
        <w:t>i</w:t>
      </w:r>
      <w:r w:rsidRPr="00124747" w:rsidR="003D557F">
        <w:rPr>
          <w:rFonts w:ascii="Arial" w:hAnsi="Arial" w:eastAsia="Times New Roman" w:cs="Arial"/>
          <w:sz w:val="24"/>
          <w:szCs w:val="24"/>
          <w:lang w:eastAsia="hr-HR"/>
        </w:rPr>
        <w:t xml:space="preserve"> upravitelj</w:t>
      </w:r>
      <w:r w:rsidRPr="00124747" w:rsidR="00891079">
        <w:rPr>
          <w:rFonts w:ascii="Arial" w:hAnsi="Arial" w:eastAsia="Times New Roman" w:cs="Arial"/>
          <w:sz w:val="24"/>
          <w:szCs w:val="24"/>
          <w:lang w:eastAsia="hr-HR"/>
        </w:rPr>
        <w:t xml:space="preserve">: </w:t>
      </w:r>
      <w:r w:rsidRPr="00124747" w:rsidR="004B452A">
        <w:rPr>
          <w:rFonts w:ascii="Arial" w:hAnsi="Arial" w:eastAsia="Times New Roman" w:cs="Arial"/>
          <w:sz w:val="24"/>
          <w:szCs w:val="24"/>
          <w:lang w:eastAsia="hr-HR"/>
        </w:rPr>
        <w:t>Ivo Žiža</w:t>
      </w:r>
      <w:r w:rsidRPr="00124747" w:rsidR="003D557F">
        <w:rPr>
          <w:rFonts w:ascii="Arial" w:hAnsi="Arial" w:eastAsia="Times New Roman" w:cs="Arial"/>
          <w:sz w:val="24"/>
          <w:szCs w:val="24"/>
          <w:lang w:eastAsia="hr-HR"/>
        </w:rPr>
        <w:t xml:space="preserve"> </w:t>
      </w:r>
    </w:p>
    <w:p w:rsidRPr="00124747" w:rsidR="0085216E" w:rsidP="0085216E" w:rsidRDefault="0085216E">
      <w:pPr>
        <w:spacing w:after="0" w:line="240" w:lineRule="auto"/>
        <w:jc w:val="both"/>
        <w:rPr>
          <w:rFonts w:ascii="Arial" w:hAnsi="Arial" w:eastAsia="Times New Roman" w:cs="Arial"/>
          <w:sz w:val="24"/>
          <w:szCs w:val="24"/>
          <w:lang w:eastAsia="hr-HR"/>
        </w:rPr>
      </w:pPr>
      <w:r w:rsidRPr="00124747">
        <w:rPr>
          <w:rFonts w:ascii="Arial" w:hAnsi="Arial" w:eastAsia="Times New Roman" w:cs="Arial"/>
          <w:sz w:val="24"/>
          <w:szCs w:val="24"/>
          <w:lang w:eastAsia="hr-HR"/>
        </w:rPr>
        <w:t xml:space="preserve">- </w:t>
      </w:r>
      <w:r w:rsidRPr="00124747" w:rsidR="00712D5B">
        <w:rPr>
          <w:rFonts w:ascii="Arial" w:hAnsi="Arial" w:eastAsia="Times New Roman" w:cs="Arial"/>
          <w:sz w:val="24"/>
          <w:szCs w:val="24"/>
          <w:lang w:eastAsia="hr-HR"/>
        </w:rPr>
        <w:t xml:space="preserve">za </w:t>
      </w:r>
      <w:r w:rsidRPr="00124747" w:rsidR="00CC62D2">
        <w:rPr>
          <w:rFonts w:ascii="Arial" w:hAnsi="Arial" w:eastAsia="Times New Roman" w:cs="Arial"/>
          <w:sz w:val="24"/>
          <w:szCs w:val="24"/>
          <w:lang w:eastAsia="hr-HR"/>
        </w:rPr>
        <w:t>vjerovnika</w:t>
      </w:r>
      <w:r w:rsidRPr="00124747">
        <w:rPr>
          <w:rFonts w:ascii="Arial" w:hAnsi="Arial" w:eastAsia="Times New Roman" w:cs="Arial"/>
          <w:sz w:val="24"/>
          <w:szCs w:val="24"/>
          <w:lang w:eastAsia="hr-HR"/>
        </w:rPr>
        <w:t xml:space="preserve"> RH, zastupn</w:t>
      </w:r>
      <w:r w:rsidRPr="00124747" w:rsidR="00FB3326">
        <w:rPr>
          <w:rFonts w:ascii="Arial" w:hAnsi="Arial" w:eastAsia="Times New Roman" w:cs="Arial"/>
          <w:sz w:val="24"/>
          <w:szCs w:val="24"/>
          <w:lang w:eastAsia="hr-HR"/>
        </w:rPr>
        <w:t>i</w:t>
      </w:r>
      <w:r w:rsidRPr="00124747" w:rsidR="00712D5B">
        <w:rPr>
          <w:rFonts w:ascii="Arial" w:hAnsi="Arial" w:eastAsia="Times New Roman" w:cs="Arial"/>
          <w:sz w:val="24"/>
          <w:szCs w:val="24"/>
          <w:lang w:eastAsia="hr-HR"/>
        </w:rPr>
        <w:t>k</w:t>
      </w:r>
      <w:r w:rsidRPr="00124747">
        <w:rPr>
          <w:rFonts w:ascii="Arial" w:hAnsi="Arial" w:eastAsia="Times New Roman" w:cs="Arial"/>
          <w:sz w:val="24"/>
          <w:szCs w:val="24"/>
          <w:lang w:eastAsia="hr-HR"/>
        </w:rPr>
        <w:t xml:space="preserve"> po zakonu </w:t>
      </w:r>
      <w:r w:rsidRPr="00124747" w:rsidR="00124747">
        <w:rPr>
          <w:rFonts w:ascii="Arial" w:hAnsi="Arial" w:eastAsia="Times New Roman" w:cs="Arial"/>
          <w:sz w:val="24"/>
          <w:szCs w:val="24"/>
          <w:lang w:eastAsia="hr-HR"/>
        </w:rPr>
        <w:t>Tanja Purić Stamenković</w:t>
      </w:r>
      <w:r w:rsidRPr="00124747">
        <w:rPr>
          <w:rFonts w:ascii="Arial" w:hAnsi="Arial" w:eastAsia="Times New Roman" w:cs="Arial"/>
          <w:sz w:val="24"/>
          <w:szCs w:val="24"/>
          <w:lang w:eastAsia="hr-HR"/>
        </w:rPr>
        <w:t>, zamjeni</w:t>
      </w:r>
      <w:r w:rsidRPr="00124747" w:rsidR="00124747">
        <w:rPr>
          <w:rFonts w:ascii="Arial" w:hAnsi="Arial" w:eastAsia="Times New Roman" w:cs="Arial"/>
          <w:sz w:val="24"/>
          <w:szCs w:val="24"/>
          <w:lang w:eastAsia="hr-HR"/>
        </w:rPr>
        <w:t>ca</w:t>
      </w:r>
      <w:r w:rsidRPr="00124747">
        <w:rPr>
          <w:rFonts w:ascii="Arial" w:hAnsi="Arial" w:eastAsia="Times New Roman" w:cs="Arial"/>
          <w:sz w:val="24"/>
          <w:szCs w:val="24"/>
          <w:lang w:eastAsia="hr-HR"/>
        </w:rPr>
        <w:t xml:space="preserve"> ŽDO Varaždin, Građansko upravni odjel</w:t>
      </w:r>
    </w:p>
    <w:p w:rsidRPr="00124747" w:rsidR="00E83461" w:rsidP="00E83461" w:rsidRDefault="00E83461">
      <w:pPr>
        <w:spacing w:after="0" w:line="240" w:lineRule="auto"/>
        <w:jc w:val="both"/>
        <w:rPr>
          <w:rFonts w:ascii="Arial" w:hAnsi="Arial" w:eastAsia="Times New Roman" w:cs="Arial"/>
          <w:sz w:val="24"/>
          <w:szCs w:val="24"/>
          <w:lang w:eastAsia="hr-HR"/>
        </w:rPr>
      </w:pPr>
    </w:p>
    <w:p w:rsidRPr="00124747" w:rsidR="00042298" w:rsidP="00E83461" w:rsidRDefault="00042298">
      <w:pPr>
        <w:spacing w:after="0" w:line="240" w:lineRule="auto"/>
        <w:jc w:val="both"/>
        <w:rPr>
          <w:rFonts w:ascii="Arial" w:hAnsi="Arial" w:eastAsia="Times New Roman" w:cs="Arial"/>
          <w:sz w:val="24"/>
          <w:szCs w:val="24"/>
          <w:lang w:eastAsia="hr-HR"/>
        </w:rPr>
      </w:pPr>
    </w:p>
    <w:p w:rsidRPr="00124747" w:rsidR="0085216E" w:rsidP="0085216E" w:rsidRDefault="0085216E">
      <w:pPr>
        <w:spacing w:after="0" w:line="240" w:lineRule="auto"/>
        <w:ind w:firstLine="708"/>
        <w:jc w:val="both"/>
        <w:rPr>
          <w:rFonts w:ascii="Arial" w:hAnsi="Arial" w:eastAsia="Times New Roman" w:cs="Arial"/>
          <w:sz w:val="24"/>
          <w:szCs w:val="24"/>
          <w:lang w:eastAsia="hr-HR"/>
        </w:rPr>
      </w:pPr>
      <w:r w:rsidRPr="00124747">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124747" w:rsidR="00C343BC">
        <w:rPr>
          <w:rFonts w:ascii="Arial" w:hAnsi="Arial" w:eastAsia="Times New Roman" w:cs="Arial"/>
          <w:sz w:val="24"/>
          <w:szCs w:val="24"/>
          <w:lang w:eastAsia="hr-HR"/>
        </w:rPr>
        <w:t>u skladu sa</w:t>
      </w:r>
      <w:r w:rsidRPr="00124747">
        <w:rPr>
          <w:rFonts w:ascii="Arial" w:hAnsi="Arial" w:eastAsia="Times New Roman" w:cs="Arial"/>
          <w:sz w:val="24"/>
          <w:szCs w:val="24"/>
          <w:lang w:eastAsia="hr-HR"/>
        </w:rPr>
        <w:t xml:space="preserve"> odredb</w:t>
      </w:r>
      <w:r w:rsidRPr="00124747" w:rsidR="00C343BC">
        <w:rPr>
          <w:rFonts w:ascii="Arial" w:hAnsi="Arial" w:eastAsia="Times New Roman" w:cs="Arial"/>
          <w:sz w:val="24"/>
          <w:szCs w:val="24"/>
          <w:lang w:eastAsia="hr-HR"/>
        </w:rPr>
        <w:t>om</w:t>
      </w:r>
      <w:r w:rsidRPr="00124747">
        <w:rPr>
          <w:rFonts w:ascii="Arial" w:hAnsi="Arial" w:eastAsia="Times New Roman" w:cs="Arial"/>
          <w:sz w:val="24"/>
          <w:szCs w:val="24"/>
          <w:lang w:eastAsia="hr-HR"/>
        </w:rPr>
        <w:t xml:space="preserve"> čl. 259. </w:t>
      </w:r>
      <w:r w:rsidRPr="00124747" w:rsidR="00961B6D">
        <w:rPr>
          <w:rFonts w:ascii="Arial" w:hAnsi="Arial" w:eastAsia="Times New Roman" w:cs="Arial"/>
          <w:sz w:val="24"/>
          <w:szCs w:val="24"/>
          <w:lang w:eastAsia="hr-HR"/>
        </w:rPr>
        <w:t xml:space="preserve">Stečajnog zakona (Narodne novine, broj 71/15, 104/17 i 36/22, dalje u tekstu: SZ) </w:t>
      </w:r>
      <w:r w:rsidRPr="00124747">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124747"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124747">
        <w:rPr>
          <w:rFonts w:ascii="Arial" w:hAnsi="Arial" w:eastAsia="Times New Roman" w:cs="Arial"/>
          <w:sz w:val="24"/>
          <w:szCs w:val="24"/>
          <w:lang w:eastAsia="hr-HR"/>
        </w:rPr>
        <w:t xml:space="preserve">Stečajni sudac obavještava vjerovnike da se rješenje o utvrđenim i osporenim </w:t>
      </w:r>
      <w:r w:rsidRPr="00E32E7B">
        <w:rPr>
          <w:rFonts w:ascii="Arial" w:hAnsi="Arial" w:eastAsia="Times New Roman" w:cs="Arial"/>
          <w:sz w:val="24"/>
          <w:szCs w:val="24"/>
          <w:lang w:eastAsia="hr-HR"/>
        </w:rPr>
        <w:t>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4D44D8" w:rsidR="004B452A" w:rsidP="004B452A" w:rsidRDefault="004B452A">
      <w:pPr>
        <w:spacing w:after="0" w:line="240" w:lineRule="auto"/>
        <w:ind w:firstLine="708"/>
        <w:jc w:val="both"/>
        <w:rPr>
          <w:rFonts w:ascii="Arial" w:hAnsi="Arial" w:eastAsia="Times New Roman" w:cs="Arial"/>
          <w:sz w:val="24"/>
          <w:szCs w:val="24"/>
          <w:lang w:eastAsia="hr-HR"/>
        </w:rPr>
      </w:pPr>
      <w:r w:rsidRPr="004D44D8">
        <w:rPr>
          <w:rFonts w:ascii="Arial" w:hAnsi="Arial" w:eastAsia="Times New Roman" w:cs="Arial"/>
          <w:sz w:val="24"/>
          <w:szCs w:val="24"/>
          <w:lang w:eastAsia="hr-HR"/>
        </w:rPr>
        <w:t>Utvrđuje se da nema prijavljenih tražbina I. višeg isplatnog reda.</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124747" w:rsidP="0085216E" w:rsidRDefault="00124747">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lastRenderedPageBreak/>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4B452A">
        <w:tc>
          <w:tcPr>
            <w:tcW w:w="639" w:type="dxa"/>
            <w:shd w:val="clear" w:color="auto" w:fill="F2F2F2" w:themeFill="background1" w:themeFillShade="F2"/>
          </w:tcPr>
          <w:p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1B6963" w:rsidR="00DA702A" w:rsidTr="004B452A">
        <w:tc>
          <w:tcPr>
            <w:tcW w:w="639" w:type="dxa"/>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4B452A">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DA702A">
              <w:rPr>
                <w:rFonts w:ascii="Arial" w:hAnsi="Arial" w:eastAsia="Times New Roman" w:cs="Arial"/>
                <w:sz w:val="20"/>
                <w:szCs w:val="20"/>
              </w:rPr>
              <w:t>.</w:t>
            </w:r>
          </w:p>
        </w:tc>
        <w:tc>
          <w:tcPr>
            <w:tcW w:w="2557" w:type="dxa"/>
          </w:tcPr>
          <w:p w:rsidRPr="001B6963" w:rsidR="00DA702A" w:rsidP="005B7D03" w:rsidRDefault="00DA702A">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4B452A">
            <w:pPr>
              <w:pStyle w:val="Default"/>
              <w:jc w:val="right"/>
              <w:rPr>
                <w:rFonts w:ascii="Arial" w:hAnsi="Arial" w:cs="Arial"/>
                <w:sz w:val="20"/>
                <w:szCs w:val="20"/>
              </w:rPr>
            </w:pPr>
            <w:r>
              <w:rPr>
                <w:rFonts w:ascii="Arial" w:hAnsi="Arial" w:cs="Arial"/>
                <w:sz w:val="20"/>
                <w:szCs w:val="20"/>
              </w:rPr>
              <w:t>18,05</w:t>
            </w:r>
          </w:p>
          <w:p w:rsidRPr="001B6963" w:rsidR="00DA702A" w:rsidP="005B7D03" w:rsidRDefault="00DA702A">
            <w:pPr>
              <w:spacing w:after="0" w:line="240" w:lineRule="auto"/>
              <w:jc w:val="right"/>
              <w:rPr>
                <w:rFonts w:ascii="Arial" w:hAnsi="Arial" w:eastAsia="Times New Roman" w:cs="Arial"/>
                <w:sz w:val="20"/>
                <w:szCs w:val="20"/>
              </w:rPr>
            </w:pPr>
          </w:p>
        </w:tc>
        <w:tc>
          <w:tcPr>
            <w:tcW w:w="1493"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4B452A">
            <w:pPr>
              <w:pStyle w:val="Default"/>
              <w:jc w:val="right"/>
              <w:rPr>
                <w:rFonts w:ascii="Arial" w:hAnsi="Arial" w:cs="Arial"/>
                <w:sz w:val="20"/>
                <w:szCs w:val="20"/>
              </w:rPr>
            </w:pPr>
            <w:r>
              <w:rPr>
                <w:rFonts w:ascii="Arial" w:hAnsi="Arial" w:cs="Arial"/>
                <w:sz w:val="20"/>
                <w:szCs w:val="20"/>
              </w:rPr>
              <w:t>18,05</w:t>
            </w:r>
          </w:p>
          <w:p w:rsidRPr="001B6963" w:rsidR="00DA702A" w:rsidP="005B7D03" w:rsidRDefault="00DA702A">
            <w:pPr>
              <w:spacing w:after="0" w:line="240" w:lineRule="auto"/>
              <w:jc w:val="right"/>
              <w:rPr>
                <w:rFonts w:ascii="Arial" w:hAnsi="Arial" w:eastAsia="Times New Roman" w:cs="Arial"/>
                <w:sz w:val="20"/>
                <w:szCs w:val="20"/>
              </w:rPr>
            </w:pPr>
          </w:p>
        </w:tc>
        <w:tc>
          <w:tcPr>
            <w:tcW w:w="1489" w:type="dxa"/>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pPr>
              <w:spacing w:after="0" w:line="240" w:lineRule="auto"/>
              <w:rPr>
                <w:rFonts w:ascii="Arial" w:hAnsi="Arial" w:eastAsia="Times New Roman" w:cs="Arial"/>
                <w:sz w:val="20"/>
                <w:szCs w:val="20"/>
              </w:rPr>
            </w:pPr>
          </w:p>
        </w:tc>
      </w:tr>
      <w:tr w:rsidRPr="001B6963" w:rsidR="00DA702A" w:rsidTr="004B452A">
        <w:tc>
          <w:tcPr>
            <w:tcW w:w="3196" w:type="dxa"/>
            <w:gridSpan w:val="2"/>
            <w:shd w:val="clear" w:color="auto" w:fill="F2F2F2" w:themeFill="background1" w:themeFillShade="F2"/>
          </w:tcPr>
          <w:p w:rsidRPr="001B6963" w:rsidR="00DA702A" w:rsidP="005B7D03" w:rsidRDefault="00DA702A">
            <w:pPr>
              <w:spacing w:after="0" w:line="240" w:lineRule="auto"/>
              <w:jc w:val="center"/>
              <w:rPr>
                <w:rFonts w:ascii="Arial" w:hAnsi="Arial" w:eastAsia="Times New Roman" w:cs="Arial"/>
                <w:sz w:val="20"/>
                <w:szCs w:val="20"/>
              </w:rPr>
            </w:pPr>
          </w:p>
          <w:p w:rsidRPr="001B6963" w:rsidR="00DA702A" w:rsidP="005B7D03" w:rsidRDefault="00DA702A">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4B452A" w:rsidRDefault="004B452A">
            <w:pPr>
              <w:spacing w:after="0" w:line="240" w:lineRule="auto"/>
              <w:jc w:val="right"/>
              <w:rPr>
                <w:rFonts w:ascii="Arial" w:hAnsi="Arial" w:eastAsia="Times New Roman" w:cs="Arial"/>
                <w:sz w:val="20"/>
                <w:szCs w:val="20"/>
              </w:rPr>
            </w:pPr>
            <w:r>
              <w:rPr>
                <w:rFonts w:ascii="Arial" w:hAnsi="Arial" w:eastAsia="Times New Roman" w:cs="Arial"/>
                <w:sz w:val="20"/>
                <w:szCs w:val="20"/>
              </w:rPr>
              <w:t>18,05</w:t>
            </w:r>
            <w:r w:rsidR="001B6963">
              <w:rPr>
                <w:rFonts w:ascii="Arial" w:hAnsi="Arial" w:eastAsia="Times New Roman" w:cs="Arial"/>
                <w:sz w:val="20"/>
                <w:szCs w:val="20"/>
              </w:rPr>
              <w:fldChar w:fldCharType="begin"/>
            </w:r>
            <w:r w:rsidR="001B6963">
              <w:rPr>
                <w:rFonts w:ascii="Arial" w:hAnsi="Arial" w:eastAsia="Times New Roman" w:cs="Arial"/>
                <w:sz w:val="20"/>
                <w:szCs w:val="20"/>
              </w:rPr>
              <w:instrText xml:space="preserve"> =SUM(ABOVE) </w:instrText>
            </w:r>
            <w:r w:rsidR="001B6963">
              <w:rPr>
                <w:rFonts w:ascii="Arial" w:hAnsi="Arial" w:eastAsia="Times New Roman" w:cs="Arial"/>
                <w:sz w:val="20"/>
                <w:szCs w:val="20"/>
              </w:rPr>
              <w:fldChar w:fldCharType="end"/>
            </w:r>
          </w:p>
        </w:tc>
        <w:tc>
          <w:tcPr>
            <w:tcW w:w="1493" w:type="dxa"/>
            <w:shd w:val="clear" w:color="auto" w:fill="F2F2F2" w:themeFill="background1" w:themeFillShade="F2"/>
          </w:tcPr>
          <w:p w:rsidR="00DA702A" w:rsidP="005B7D03" w:rsidRDefault="00DA702A">
            <w:pPr>
              <w:spacing w:after="0" w:line="240" w:lineRule="auto"/>
              <w:jc w:val="right"/>
              <w:rPr>
                <w:rFonts w:ascii="Arial" w:hAnsi="Arial" w:eastAsia="Times New Roman" w:cs="Arial"/>
                <w:sz w:val="20"/>
                <w:szCs w:val="20"/>
              </w:rPr>
            </w:pPr>
          </w:p>
          <w:p w:rsidR="001B6963" w:rsidP="005B7D03" w:rsidRDefault="004B452A">
            <w:pPr>
              <w:spacing w:after="0" w:line="240" w:lineRule="auto"/>
              <w:jc w:val="right"/>
              <w:rPr>
                <w:rFonts w:ascii="Arial" w:hAnsi="Arial" w:eastAsia="Times New Roman" w:cs="Arial"/>
                <w:sz w:val="20"/>
                <w:szCs w:val="20"/>
              </w:rPr>
            </w:pPr>
            <w:r>
              <w:rPr>
                <w:rFonts w:ascii="Arial" w:hAnsi="Arial" w:eastAsia="Times New Roman" w:cs="Arial"/>
                <w:sz w:val="20"/>
                <w:szCs w:val="20"/>
              </w:rPr>
              <w:t>18,05</w:t>
            </w:r>
          </w:p>
          <w:p w:rsidRPr="001B6963" w:rsidR="004B452A" w:rsidP="005B7D03" w:rsidRDefault="004B452A">
            <w:pPr>
              <w:spacing w:after="0" w:line="240" w:lineRule="auto"/>
              <w:jc w:val="right"/>
              <w:rPr>
                <w:rFonts w:ascii="Arial" w:hAnsi="Arial" w:eastAsia="Times New Roman" w:cs="Arial"/>
                <w:sz w:val="20"/>
                <w:szCs w:val="20"/>
              </w:rPr>
            </w:pPr>
          </w:p>
        </w:tc>
        <w:tc>
          <w:tcPr>
            <w:tcW w:w="1489" w:type="dxa"/>
            <w:shd w:val="clear" w:color="auto" w:fill="F2F2F2" w:themeFill="background1" w:themeFillShade="F2"/>
          </w:tcPr>
          <w:p w:rsidRPr="001B6963" w:rsidR="00DA702A" w:rsidP="005B7D03" w:rsidRDefault="00DA702A">
            <w:pPr>
              <w:spacing w:after="0" w:line="240" w:lineRule="auto"/>
              <w:jc w:val="right"/>
              <w:rPr>
                <w:rFonts w:ascii="Arial" w:hAnsi="Arial" w:eastAsia="Times New Roman" w:cs="Arial"/>
                <w:sz w:val="20"/>
                <w:szCs w:val="20"/>
              </w:rPr>
            </w:pPr>
          </w:p>
          <w:p w:rsidRPr="001B6963" w:rsidR="00DA702A" w:rsidP="005B7D03" w:rsidRDefault="00DA702A">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pPr>
              <w:spacing w:after="0" w:line="240" w:lineRule="auto"/>
              <w:rPr>
                <w:rFonts w:ascii="Arial" w:hAnsi="Arial" w:eastAsia="Times New Roman" w:cs="Arial"/>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124747">
        <w:rPr>
          <w:rFonts w:ascii="Arial" w:hAnsi="Arial" w:eastAsia="Times New Roman" w:cs="Arial"/>
          <w:sz w:val="24"/>
          <w:szCs w:val="24"/>
          <w:lang w:eastAsia="hr-HR"/>
        </w:rPr>
        <w:t xml:space="preserve">utvrđenima u iznosu od </w:t>
      </w:r>
      <w:r w:rsidRPr="00124747" w:rsidR="004B452A">
        <w:rPr>
          <w:rFonts w:ascii="Arial" w:hAnsi="Arial" w:cs="Arial"/>
          <w:sz w:val="24"/>
          <w:szCs w:val="24"/>
        </w:rPr>
        <w:t>18,05</w:t>
      </w:r>
      <w:r w:rsidRPr="00124747" w:rsidR="001B6963">
        <w:rPr>
          <w:rFonts w:ascii="Arial" w:hAnsi="Arial" w:cs="Arial"/>
          <w:sz w:val="24"/>
          <w:szCs w:val="24"/>
        </w:rPr>
        <w:t xml:space="preserve"> </w:t>
      </w:r>
      <w:r w:rsidRPr="00124747" w:rsidR="00776050">
        <w:rPr>
          <w:rFonts w:ascii="Arial" w:hAnsi="Arial" w:eastAsia="Times New Roman" w:cs="Arial"/>
          <w:sz w:val="24"/>
          <w:szCs w:val="24"/>
          <w:lang w:eastAsia="hr-HR"/>
        </w:rPr>
        <w:t>eura</w:t>
      </w:r>
      <w:r w:rsidRPr="00124747">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1B6963">
        <w:rPr>
          <w:rFonts w:ascii="Arial" w:hAnsi="Arial" w:eastAsia="Times New Roman" w:cs="Arial"/>
          <w:sz w:val="24"/>
          <w:szCs w:val="24"/>
          <w:lang w:eastAsia="hr-HR"/>
        </w:rPr>
        <w:t>0</w:t>
      </w:r>
      <w:r w:rsidR="004B452A">
        <w:rPr>
          <w:rFonts w:ascii="Arial" w:hAnsi="Arial" w:eastAsia="Times New Roman" w:cs="Arial"/>
          <w:sz w:val="24"/>
          <w:szCs w:val="24"/>
          <w:lang w:eastAsia="hr-HR"/>
        </w:rPr>
        <w:t>4</w:t>
      </w:r>
      <w:r w:rsidRPr="00E32E7B" w:rsidR="00B10E42">
        <w:rPr>
          <w:rFonts w:ascii="Arial" w:hAnsi="Arial" w:eastAsia="Times New Roman" w:cs="Arial"/>
          <w:sz w:val="24"/>
          <w:szCs w:val="24"/>
          <w:lang w:eastAsia="hr-HR"/>
        </w:rPr>
        <w:t xml:space="preserve">. </w:t>
      </w:r>
      <w:r w:rsidR="001B6963">
        <w:rPr>
          <w:rFonts w:ascii="Arial" w:hAnsi="Arial" w:eastAsia="Times New Roman" w:cs="Arial"/>
          <w:sz w:val="24"/>
          <w:szCs w:val="24"/>
          <w:lang w:eastAsia="hr-HR"/>
        </w:rPr>
        <w:t>listopada</w:t>
      </w:r>
      <w:r w:rsidRPr="00E32E7B" w:rsidR="00B10E42">
        <w:rPr>
          <w:rFonts w:ascii="Arial" w:hAnsi="Arial" w:eastAsia="Times New Roman" w:cs="Arial"/>
          <w:sz w:val="24"/>
          <w:szCs w:val="24"/>
          <w:lang w:eastAsia="hr-HR"/>
        </w:rPr>
        <w:t xml:space="preserve"> 202</w:t>
      </w:r>
      <w:r w:rsidR="001B6963">
        <w:rPr>
          <w:rFonts w:ascii="Arial" w:hAnsi="Arial" w:eastAsia="Times New Roman" w:cs="Arial"/>
          <w:sz w:val="24"/>
          <w:szCs w:val="24"/>
          <w:lang w:eastAsia="hr-HR"/>
        </w:rPr>
        <w:t>3</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4B452A">
        <w:rPr>
          <w:rFonts w:ascii="Arial" w:hAnsi="Arial" w:eastAsia="Times New Roman" w:cs="Arial"/>
          <w:color w:val="000000" w:themeColor="text1"/>
          <w:sz w:val="24"/>
          <w:szCs w:val="24"/>
          <w:lang w:eastAsia="hr-HR"/>
        </w:rPr>
        <w:t>08</w:t>
      </w:r>
      <w:r w:rsidRPr="00E32E7B">
        <w:rPr>
          <w:rFonts w:ascii="Arial" w:hAnsi="Arial" w:eastAsia="Times New Roman" w:cs="Arial"/>
          <w:color w:val="000000" w:themeColor="text1"/>
          <w:sz w:val="24"/>
          <w:szCs w:val="24"/>
          <w:lang w:eastAsia="hr-HR"/>
        </w:rPr>
        <w:t xml:space="preserve">. </w:t>
      </w:r>
      <w:r w:rsidR="004B452A">
        <w:rPr>
          <w:rFonts w:ascii="Arial" w:hAnsi="Arial" w:eastAsia="Times New Roman" w:cs="Arial"/>
          <w:color w:val="000000" w:themeColor="text1"/>
          <w:sz w:val="24"/>
          <w:szCs w:val="24"/>
          <w:lang w:eastAsia="hr-HR"/>
        </w:rPr>
        <w:t>siječnja</w:t>
      </w:r>
      <w:r w:rsidRPr="00E32E7B" w:rsidR="00E112C8">
        <w:rPr>
          <w:rFonts w:ascii="Arial" w:hAnsi="Arial" w:eastAsia="Times New Roman" w:cs="Arial"/>
          <w:color w:val="000000" w:themeColor="text1"/>
          <w:sz w:val="24"/>
          <w:szCs w:val="24"/>
          <w:lang w:eastAsia="hr-HR"/>
        </w:rPr>
        <w:t xml:space="preserve"> 202</w:t>
      </w:r>
      <w:r w:rsidR="004B452A">
        <w:rPr>
          <w:rFonts w:ascii="Arial" w:hAnsi="Arial" w:eastAsia="Times New Roman" w:cs="Arial"/>
          <w:color w:val="000000" w:themeColor="text1"/>
          <w:sz w:val="24"/>
          <w:szCs w:val="24"/>
          <w:lang w:eastAsia="hr-HR"/>
        </w:rPr>
        <w:t>4</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124747" w:rsidR="00DC24BE" w:rsidP="00DC24BE" w:rsidRDefault="00DC24BE">
      <w:pPr>
        <w:spacing w:after="0" w:line="240" w:lineRule="auto"/>
        <w:jc w:val="both"/>
        <w:rPr>
          <w:rFonts w:ascii="Arial" w:hAnsi="Arial" w:eastAsia="Times New Roman" w:cs="Arial"/>
          <w:sz w:val="24"/>
          <w:szCs w:val="24"/>
          <w:lang w:eastAsia="hr-HR"/>
        </w:rPr>
      </w:pPr>
      <w:r w:rsidRPr="00124747">
        <w:rPr>
          <w:rFonts w:ascii="Arial" w:hAnsi="Arial" w:eastAsia="Times New Roman" w:cs="Arial"/>
          <w:sz w:val="24"/>
          <w:szCs w:val="24"/>
          <w:lang w:eastAsia="hr-HR"/>
        </w:rPr>
        <w:t xml:space="preserve">-  vjerovniku RH, Ministarstvo financija, utvrđena tražbina u ukupnom iznosu od </w:t>
      </w:r>
      <w:r w:rsidRPr="00124747" w:rsidR="004B452A">
        <w:rPr>
          <w:rFonts w:ascii="Arial" w:hAnsi="Arial" w:eastAsia="Times New Roman" w:cs="Arial"/>
          <w:sz w:val="24"/>
          <w:szCs w:val="24"/>
          <w:lang w:eastAsia="hr-HR"/>
        </w:rPr>
        <w:t>18,05</w:t>
      </w:r>
      <w:r w:rsidRPr="00124747">
        <w:rPr>
          <w:rFonts w:ascii="Arial" w:hAnsi="Arial" w:eastAsia="Times New Roman" w:cs="Arial"/>
          <w:sz w:val="24"/>
          <w:szCs w:val="24"/>
          <w:lang w:eastAsia="hr-HR"/>
        </w:rPr>
        <w:t xml:space="preserve"> </w:t>
      </w:r>
      <w:r w:rsidRPr="00124747" w:rsidR="00776050">
        <w:rPr>
          <w:rFonts w:ascii="Arial" w:hAnsi="Arial" w:eastAsia="Times New Roman" w:cs="Arial"/>
          <w:sz w:val="24"/>
          <w:szCs w:val="24"/>
          <w:lang w:eastAsia="hr-HR"/>
        </w:rPr>
        <w:t>eura</w:t>
      </w:r>
      <w:r w:rsidRPr="00124747" w:rsidR="00B54EAB">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124747"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124747">
        <w:rPr>
          <w:rFonts w:ascii="Arial" w:hAnsi="Arial" w:eastAsia="Times New Roman" w:cs="Arial"/>
          <w:color w:val="000000" w:themeColor="text1"/>
          <w:sz w:val="24"/>
          <w:szCs w:val="24"/>
          <w:lang w:eastAsia="hr-HR"/>
        </w:rPr>
        <w:t xml:space="preserve">kao u izvješću. Budući da nema imovine koja bi se mogla unovčavati u stečajnom postupku predlaže obustavu postupka zbog nedostatnosti stečajne mase za namirenje troškova stečajnog postupka. </w:t>
      </w:r>
    </w:p>
    <w:p w:rsidRPr="00E32E7B" w:rsidR="00AB4AF8" w:rsidP="00AB4AF8" w:rsidRDefault="00AB4AF8">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 </w:t>
      </w:r>
      <w:r w:rsidRPr="00E32E7B">
        <w:rPr>
          <w:rFonts w:ascii="Arial" w:hAnsi="Arial" w:eastAsia="Times New Roman" w:cs="Arial"/>
          <w:color w:val="000000" w:themeColor="text1"/>
          <w:sz w:val="24"/>
          <w:szCs w:val="24"/>
          <w:lang w:eastAsia="hr-HR"/>
        </w:rPr>
        <w:tab/>
      </w:r>
    </w:p>
    <w:p w:rsidRPr="00E32E7B" w:rsidR="009D45C4"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00124747" w:rsidP="00DC24BE" w:rsidRDefault="00124747">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00B54EAB" w:rsidP="00B54EAB" w:rsidRDefault="00B54EAB">
      <w:pPr>
        <w:pStyle w:val="Default"/>
      </w:pPr>
    </w:p>
    <w:p w:rsidRPr="00124747" w:rsidR="001B6963" w:rsidP="001B6963" w:rsidRDefault="001B6963">
      <w:pPr>
        <w:spacing w:after="0" w:line="240" w:lineRule="auto"/>
        <w:contextualSpacing/>
        <w:jc w:val="both"/>
        <w:rPr>
          <w:rFonts w:ascii="Arial" w:hAnsi="Arial" w:cs="Arial"/>
          <w:sz w:val="24"/>
          <w:szCs w:val="24"/>
          <w:lang w:eastAsia="hr-HR"/>
        </w:rPr>
      </w:pPr>
      <w:r w:rsidRPr="00124747">
        <w:rPr>
          <w:rFonts w:ascii="Arial" w:hAnsi="Arial" w:cs="Arial"/>
          <w:sz w:val="24"/>
          <w:szCs w:val="24"/>
          <w:lang w:eastAsia="hr-HR"/>
        </w:rPr>
        <w:t xml:space="preserve">1. </w:t>
      </w:r>
      <w:r w:rsidRPr="00124747">
        <w:rPr>
          <w:rFonts w:ascii="Arial" w:hAnsi="Arial" w:cs="Arial"/>
          <w:sz w:val="24"/>
          <w:szCs w:val="24"/>
          <w:lang w:eastAsia="hr-HR"/>
        </w:rPr>
        <w:tab/>
        <w:t>Prihvaća se u cijelosti izvješće stečajnog upravitelja o gospodarskom položaju stečajnog dužnika i njegovim uzrocima</w:t>
      </w:r>
    </w:p>
    <w:p w:rsidRPr="00124747" w:rsidR="001B6963" w:rsidP="001B6963" w:rsidRDefault="001B6963">
      <w:pPr>
        <w:spacing w:after="0" w:line="240" w:lineRule="auto"/>
        <w:contextualSpacing/>
        <w:jc w:val="both"/>
        <w:rPr>
          <w:rFonts w:ascii="Arial" w:hAnsi="Arial" w:cs="Arial"/>
          <w:sz w:val="24"/>
          <w:szCs w:val="24"/>
          <w:lang w:eastAsia="hr-HR"/>
        </w:rPr>
      </w:pPr>
    </w:p>
    <w:p w:rsidRPr="00124747" w:rsidR="001B6963" w:rsidP="001B6963" w:rsidRDefault="001B6963">
      <w:pPr>
        <w:spacing w:after="0" w:line="240" w:lineRule="auto"/>
        <w:contextualSpacing/>
        <w:jc w:val="both"/>
        <w:rPr>
          <w:rFonts w:ascii="Arial" w:hAnsi="Arial" w:cs="Arial"/>
          <w:sz w:val="24"/>
          <w:szCs w:val="24"/>
          <w:lang w:eastAsia="hr-HR"/>
        </w:rPr>
      </w:pPr>
      <w:r w:rsidRPr="00124747">
        <w:rPr>
          <w:rFonts w:ascii="Arial" w:hAnsi="Arial" w:cs="Arial"/>
          <w:sz w:val="24"/>
          <w:szCs w:val="24"/>
          <w:lang w:eastAsia="hr-HR"/>
        </w:rPr>
        <w:t>2.</w:t>
      </w:r>
      <w:r w:rsidRPr="00124747">
        <w:rPr>
          <w:rFonts w:ascii="Arial" w:hAnsi="Arial" w:cs="Arial"/>
          <w:sz w:val="24"/>
          <w:szCs w:val="24"/>
          <w:lang w:eastAsia="hr-HR"/>
        </w:rPr>
        <w:tab/>
      </w:r>
      <w:r w:rsidRPr="00124747" w:rsidR="00AD213B">
        <w:rPr>
          <w:rFonts w:ascii="Arial" w:hAnsi="Arial" w:cs="Arial"/>
          <w:sz w:val="24"/>
          <w:szCs w:val="24"/>
          <w:lang w:eastAsia="hr-HR"/>
        </w:rPr>
        <w:t>Daje se suglasnost za obustavu stečajnog postupka u skladu sa čl. 293. st. 1. Stečajnog zakona.</w:t>
      </w:r>
    </w:p>
    <w:p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B54EAB" w:rsidP="00DC24BE" w:rsidRDefault="00B54EAB">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00124747" w:rsidP="00DC24BE" w:rsidRDefault="00124747">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776050" w:rsidP="00DC24BE" w:rsidRDefault="00776050">
      <w:pPr>
        <w:spacing w:after="0" w:line="240" w:lineRule="auto"/>
        <w:jc w:val="center"/>
        <w:rPr>
          <w:rFonts w:ascii="Arial" w:hAnsi="Arial" w:eastAsia="Times New Roman" w:cs="Arial"/>
          <w:color w:val="000000" w:themeColor="text1"/>
          <w:sz w:val="24"/>
          <w:szCs w:val="24"/>
          <w:lang w:eastAsia="hr-HR"/>
        </w:rPr>
      </w:pPr>
    </w:p>
    <w:p w:rsidRPr="00124747" w:rsidR="00366BE7" w:rsidP="00366BE7" w:rsidRDefault="00366BE7">
      <w:pPr>
        <w:spacing w:after="0" w:line="240" w:lineRule="auto"/>
        <w:jc w:val="both"/>
        <w:rPr>
          <w:rFonts w:ascii="Arial" w:hAnsi="Arial" w:eastAsia="Times New Roman" w:cs="Arial"/>
          <w:b/>
          <w:sz w:val="24"/>
          <w:szCs w:val="24"/>
          <w:lang w:eastAsia="hr-HR"/>
        </w:rPr>
      </w:pPr>
    </w:p>
    <w:p w:rsidRPr="00124747" w:rsidR="00124747" w:rsidP="00124747" w:rsidRDefault="00124747">
      <w:pPr>
        <w:spacing w:after="0" w:line="240" w:lineRule="auto"/>
        <w:contextualSpacing/>
        <w:jc w:val="both"/>
        <w:rPr>
          <w:rFonts w:ascii="Arial" w:hAnsi="Arial" w:cs="Arial"/>
          <w:b/>
          <w:sz w:val="24"/>
          <w:szCs w:val="24"/>
          <w:lang w:eastAsia="hr-HR"/>
        </w:rPr>
      </w:pPr>
      <w:r w:rsidRPr="00124747">
        <w:rPr>
          <w:rFonts w:ascii="Arial" w:hAnsi="Arial" w:cs="Arial"/>
          <w:b/>
          <w:sz w:val="24"/>
          <w:szCs w:val="24"/>
          <w:lang w:eastAsia="hr-HR"/>
        </w:rPr>
        <w:t xml:space="preserve">1. </w:t>
      </w:r>
      <w:r w:rsidRPr="00124747">
        <w:rPr>
          <w:rFonts w:ascii="Arial" w:hAnsi="Arial" w:cs="Arial"/>
          <w:b/>
          <w:sz w:val="24"/>
          <w:szCs w:val="24"/>
          <w:lang w:eastAsia="hr-HR"/>
        </w:rPr>
        <w:tab/>
        <w:t>Prihvaća se u cijelosti izvješće stečajnog upravitelja o gospodarskom položaju stečajnog dužnika i njegovim uzrocima</w:t>
      </w:r>
    </w:p>
    <w:p w:rsidRPr="00124747" w:rsidR="00124747" w:rsidP="00124747" w:rsidRDefault="00124747">
      <w:pPr>
        <w:spacing w:after="0" w:line="240" w:lineRule="auto"/>
        <w:contextualSpacing/>
        <w:jc w:val="both"/>
        <w:rPr>
          <w:rFonts w:ascii="Arial" w:hAnsi="Arial" w:cs="Arial"/>
          <w:b/>
          <w:sz w:val="24"/>
          <w:szCs w:val="24"/>
          <w:lang w:eastAsia="hr-HR"/>
        </w:rPr>
      </w:pPr>
    </w:p>
    <w:p w:rsidR="00124747" w:rsidP="00124747" w:rsidRDefault="00124747">
      <w:pPr>
        <w:spacing w:after="0" w:line="240" w:lineRule="auto"/>
        <w:contextualSpacing/>
        <w:jc w:val="both"/>
        <w:rPr>
          <w:rFonts w:ascii="Arial" w:hAnsi="Arial" w:cs="Arial"/>
          <w:b/>
          <w:sz w:val="24"/>
          <w:szCs w:val="24"/>
          <w:lang w:eastAsia="hr-HR"/>
        </w:rPr>
      </w:pPr>
      <w:r w:rsidRPr="00124747">
        <w:rPr>
          <w:rFonts w:ascii="Arial" w:hAnsi="Arial" w:cs="Arial"/>
          <w:b/>
          <w:sz w:val="24"/>
          <w:szCs w:val="24"/>
          <w:lang w:eastAsia="hr-HR"/>
        </w:rPr>
        <w:t>2.</w:t>
      </w:r>
      <w:r w:rsidRPr="00124747">
        <w:rPr>
          <w:rFonts w:ascii="Arial" w:hAnsi="Arial" w:cs="Arial"/>
          <w:b/>
          <w:sz w:val="24"/>
          <w:szCs w:val="24"/>
          <w:lang w:eastAsia="hr-HR"/>
        </w:rPr>
        <w:tab/>
        <w:t>Daje se suglasnost za obustavu stečajnog postupka u skladu sa čl. 293. st. 1. Stečajnog zakona.</w:t>
      </w:r>
    </w:p>
    <w:p w:rsidR="00124747" w:rsidP="00124747" w:rsidRDefault="00124747">
      <w:pPr>
        <w:spacing w:after="0" w:line="240" w:lineRule="auto"/>
        <w:contextualSpacing/>
        <w:jc w:val="both"/>
        <w:rPr>
          <w:rFonts w:ascii="Arial" w:hAnsi="Arial" w:cs="Arial"/>
          <w:b/>
          <w:sz w:val="24"/>
          <w:szCs w:val="24"/>
          <w:lang w:eastAsia="hr-HR"/>
        </w:rPr>
      </w:pPr>
    </w:p>
    <w:p w:rsidRPr="00124747" w:rsidR="00124747" w:rsidP="00124747" w:rsidRDefault="00124747">
      <w:pPr>
        <w:spacing w:after="0" w:line="240" w:lineRule="auto"/>
        <w:contextualSpacing/>
        <w:jc w:val="both"/>
        <w:rPr>
          <w:rFonts w:ascii="Arial" w:hAnsi="Arial" w:cs="Arial"/>
          <w:b/>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124747">
        <w:rPr>
          <w:rFonts w:ascii="Arial" w:hAnsi="Arial" w:eastAsia="Times New Roman" w:cs="Arial"/>
          <w:sz w:val="24"/>
          <w:szCs w:val="24"/>
          <w:lang w:eastAsia="hr-HR"/>
        </w:rPr>
        <w:t>10</w:t>
      </w:r>
      <w:r w:rsidRPr="00E32E7B">
        <w:rPr>
          <w:rFonts w:ascii="Arial" w:hAnsi="Arial" w:eastAsia="Times New Roman" w:cs="Arial"/>
          <w:sz w:val="24"/>
          <w:szCs w:val="24"/>
          <w:lang w:eastAsia="hr-HR"/>
        </w:rPr>
        <w:t>,</w:t>
      </w:r>
      <w:r w:rsidR="00124747">
        <w:rPr>
          <w:rFonts w:ascii="Arial" w:hAnsi="Arial" w:eastAsia="Times New Roman" w:cs="Arial"/>
          <w:sz w:val="24"/>
          <w:szCs w:val="24"/>
          <w:lang w:eastAsia="hr-HR"/>
        </w:rPr>
        <w:t>10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6535" w:rsidP="00501147" w:rsidRDefault="00946535">
      <w:pPr>
        <w:spacing w:after="0" w:line="240" w:lineRule="auto"/>
      </w:pPr>
      <w:r>
        <w:separator/>
      </w:r>
    </w:p>
  </w:endnote>
  <w:endnote w:type="continuationSeparator" w:id="0">
    <w:p w:rsidR="00946535" w:rsidP="00501147" w:rsidRDefault="00946535">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6535" w:rsidP="00501147" w:rsidRDefault="00946535">
      <w:pPr>
        <w:spacing w:after="0" w:line="240" w:lineRule="auto"/>
      </w:pPr>
      <w:r>
        <w:separator/>
      </w:r>
    </w:p>
  </w:footnote>
  <w:footnote w:type="continuationSeparator" w:id="0">
    <w:p w:rsidR="00946535" w:rsidP="00501147" w:rsidRDefault="00946535">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FF527E">
      <w:rPr>
        <w:rFonts w:ascii="Arial" w:hAnsi="Arial" w:cs="Arial"/>
        <w:noProof/>
        <w:sz w:val="24"/>
        <w:szCs w:val="24"/>
      </w:rPr>
      <w:t>Poslovni broj: 10 St-351/2023-27</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FF527E">
      <w:rPr>
        <w:rFonts w:ascii="Arial" w:hAnsi="Arial" w:cs="Arial"/>
        <w:noProof/>
        <w:sz w:val="24"/>
        <w:szCs w:val="24"/>
      </w:rPr>
      <w:t>4</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747"/>
    <w:rsid w:val="0012490A"/>
    <w:rsid w:val="00136B4A"/>
    <w:rsid w:val="00147D7D"/>
    <w:rsid w:val="001506CD"/>
    <w:rsid w:val="00182A3F"/>
    <w:rsid w:val="00194888"/>
    <w:rsid w:val="001A12E8"/>
    <w:rsid w:val="001A2412"/>
    <w:rsid w:val="001A7050"/>
    <w:rsid w:val="001B6963"/>
    <w:rsid w:val="001E4185"/>
    <w:rsid w:val="001F6DF0"/>
    <w:rsid w:val="00205192"/>
    <w:rsid w:val="00237FCE"/>
    <w:rsid w:val="002971D6"/>
    <w:rsid w:val="002B4370"/>
    <w:rsid w:val="002B47F1"/>
    <w:rsid w:val="002B766A"/>
    <w:rsid w:val="002C161C"/>
    <w:rsid w:val="002C27FD"/>
    <w:rsid w:val="002C6209"/>
    <w:rsid w:val="002D2FC4"/>
    <w:rsid w:val="002E3DDB"/>
    <w:rsid w:val="002E53D0"/>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18B7"/>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B452A"/>
    <w:rsid w:val="004C4A7C"/>
    <w:rsid w:val="004C7EB8"/>
    <w:rsid w:val="004D3178"/>
    <w:rsid w:val="004D7D26"/>
    <w:rsid w:val="004E1C60"/>
    <w:rsid w:val="00501147"/>
    <w:rsid w:val="00504323"/>
    <w:rsid w:val="00531B01"/>
    <w:rsid w:val="00544718"/>
    <w:rsid w:val="005745EC"/>
    <w:rsid w:val="00594B82"/>
    <w:rsid w:val="005A0F8E"/>
    <w:rsid w:val="005A22FE"/>
    <w:rsid w:val="005D2820"/>
    <w:rsid w:val="005D6DF6"/>
    <w:rsid w:val="005E1D89"/>
    <w:rsid w:val="005F5F8F"/>
    <w:rsid w:val="005F633B"/>
    <w:rsid w:val="005F71CF"/>
    <w:rsid w:val="00601CA3"/>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4E35"/>
    <w:rsid w:val="00752D2F"/>
    <w:rsid w:val="007552B6"/>
    <w:rsid w:val="00757A30"/>
    <w:rsid w:val="00774898"/>
    <w:rsid w:val="00776050"/>
    <w:rsid w:val="007802E2"/>
    <w:rsid w:val="00781351"/>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2C4D"/>
    <w:rsid w:val="008E7842"/>
    <w:rsid w:val="00910040"/>
    <w:rsid w:val="0091280F"/>
    <w:rsid w:val="00920A60"/>
    <w:rsid w:val="00923264"/>
    <w:rsid w:val="0092437B"/>
    <w:rsid w:val="0094546E"/>
    <w:rsid w:val="00946535"/>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D213B"/>
    <w:rsid w:val="00AE7988"/>
    <w:rsid w:val="00AF28D9"/>
    <w:rsid w:val="00B006B4"/>
    <w:rsid w:val="00B00B9A"/>
    <w:rsid w:val="00B10018"/>
    <w:rsid w:val="00B10E42"/>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530B"/>
    <w:rsid w:val="00DA702A"/>
    <w:rsid w:val="00DB5D1B"/>
    <w:rsid w:val="00DC24BE"/>
    <w:rsid w:val="00DC5347"/>
    <w:rsid w:val="00DC66A8"/>
    <w:rsid w:val="00DC70E5"/>
    <w:rsid w:val="00DD27A9"/>
    <w:rsid w:val="00DE7814"/>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527E"/>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12. siječnja 2024.</izvorni_sadrzaj>
    <derivirana_varijabla naziv="DomainObject.StvarniPocetakDatum_1">12. siječnja 2024.</derivirana_varijabla>
  </DomainObject.StvarniPocetakDatum>
  <DomainObject.StvarniZavrsetakDatum>
    <izvorni_sadrzaj>12. siječnja 2024.</izvorni_sadrzaj>
    <derivirana_varijabla naziv="DomainObject.StvarniZavrsetakDatum_1">12. siječnja 2024.</derivirana_varijabla>
  </DomainObject.StvarniZavrsetakDatum>
  <DomainObject.PlaniraniZavrsetakDatum>
    <izvorni_sadrzaj>12. siječnja 2024.</izvorni_sadrzaj>
    <derivirana_varijabla naziv="DomainObject.PlaniraniZavrsetakDatum_1">12. siječnja 2024.</derivirana_varijabla>
  </DomainObject.PlaniraniZavrsetakDatum>
  <DomainObject.PlaniraniPocetakDatum>
    <izvorni_sadrzaj>12. siječnja 2024.</izvorni_sadrzaj>
    <derivirana_varijabla naziv="DomainObject.PlaniraniPocetakDatum_1">12. siječnja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2024.</izvorni_sadrzaj>
    <derivirana_varijabla naziv="DomainObject.Zapisnik.DatumKreiranja_1">12. siječnja 2024.</derivirana_varijabla>
  </DomainObject.Zapisnik.DatumKreiranja>
  <DomainObject.Zapisnik.ImovinskaKorist>
    <izvorni_sadrzaj/>
    <derivirana_varijabla naziv="DomainObject.Zapisnik.ImovinskaKorist_1"/>
  </DomainObject.Zapisnik.ImovinskaKorist>
  <DomainObject.Zapisnik.Oznaka>
    <izvorni_sadrzaj>St-351/2023-27</izvorni_sadrzaj>
    <derivirana_varijabla naziv="DomainObject.Zapisnik.Oznaka_1">St-351/2023-27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2023.</izvorni_sadrzaj>
    <derivirana_varijabla naziv="DomainObject.Predmet.DatumOsnivanja_1">3. listopada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Predmet nastao iz R1-46/2018</izvorni_sadrzaj>
    <derivirana_varijabla naziv="DomainObject.Predmet.Opis_1">Predmet nastao iz R1-46/2018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St-351/2023</izvorni_sadrzaj>
    <derivirana_varijabla naziv="DomainObject.Predmet.OznakaBroj_1">St-351/2023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tražbine predana u pisarnicu 4.1.2023.
Prijave tražbina u referadi od 11.1.2024.</izvorni_sadrzaj>
    <derivirana_varijabla naziv="DomainObject.Predmet.PrimjedbaSuca_1">Prijava tražbine predana u pisarnicu 4.1.2023.
Prijave tražbina u referadi od 11.1.2024.</derivirana_varijabla>
  </DomainObject.Predmet.PrimjedbaSuca>
  <DomainObject.Predmet.ProtustrankaFormated>
    <izvorni_sadrzaj>  Stečajna masa iza PUT društvo s ograničenom odgovornošću za proizvodnju, trgovinu i usluge u likvidaciji</izvorni_sadrzaj>
    <derivirana_varijabla naziv="DomainObject.Predmet.ProtustrankaFormated_1">  Stečajna masa iza PUT društvo s ograničenom odgovornošću za proizvodnju, trgovinu i usluge u likvidaciji</derivirana_varijabla>
  </DomainObject.Predmet.ProtustrankaFormated>
  <DomainObject.Predmet.ProtustrankaFormatedOIB>
    <izvorni_sadrzaj>  Stečajna masa iza PUT društvo s ograničenom odgovornošću za proizvodnju, trgovinu i usluge u likvidaciji, OIB 60258288716</izvorni_sadrzaj>
    <derivirana_varijabla naziv="DomainObject.Predmet.ProtustrankaFormatedOIB_1">  Stečajna masa iza PUT društvo s ograničenom odgovornošću za proizvodnju, trgovinu i usluge u likvidaciji, OIB 60258288716</derivirana_varijabla>
  </DomainObject.Predmet.ProtustrankaFormatedOIB>
  <DomainObject.Predmet.ProtustrankaFormatedWithAdress>
    <izvorni_sadrzaj> Stečajna masa iza PUT društvo s ograničenom odgovornošću za proizvodnju, trgovinu i usluge u likvidaciji, Starjak 1, 42230 Vinogradi Ludbreški</izvorni_sadrzaj>
    <derivirana_varijabla naziv="DomainObject.Predmet.ProtustrankaFormatedWithAdress_1"> Stečajna masa iza PUT društvo s ograničenom odgovornošću za proizvodnju, trgovinu i usluge u likvidaciji, Starjak 1, 42230 Vinogradi Ludbreški</derivirana_varijabla>
  </DomainObject.Predmet.ProtustrankaFormatedWithAdress>
  <DomainObject.Predmet.ProtustrankaFormatedWithAdressOIB>
    <izvorni_sadrzaj> Stečajna masa iza PUT društvo s ograničenom odgovornošću za proizvodnju, trgovinu i usluge u likvidaciji, OIB 60258288716, Starjak 1, 42230 Vinogradi Ludbreški</izvorni_sadrzaj>
    <derivirana_varijabla naziv="DomainObject.Predmet.ProtustrankaFormatedWithAdressOIB_1"> Stečajna masa iza PUT društvo s ograničenom odgovornošću za proizvodnju, trgovinu i usluge u likvidaciji, OIB 60258288716, Starjak 1, 42230 Vinogradi Ludbreški</derivirana_varijabla>
  </DomainObject.Predmet.ProtustrankaFormatedWithAdressOIB>
  <DomainObject.Predmet.ProtustrankaWithAdress>
    <izvorni_sadrzaj>Stečajna masa iza PUT društvo s ograničenom odgovornošću za proizvodnju, trgovinu i usluge u likvidaciji Starjak 1, 42230 Vinogradi Ludbreški</izvorni_sadrzaj>
    <derivirana_varijabla naziv="DomainObject.Predmet.ProtustrankaWithAdress_1">Stečajna masa iza PUT društvo s ograničenom odgovornošću za proizvodnju, trgovinu i usluge u likvidaciji Starjak 1, 42230 Vinogradi Ludbreški</derivirana_varijabla>
  </DomainObject.Predmet.ProtustrankaWithAdress>
  <DomainObject.Predmet.ProtustrankaWithAdressOIB>
    <izvorni_sadrzaj>Stečajna masa iza PUT društvo s ograničenom odgovornošću za proizvodnju, trgovinu i usluge u likvidaciji, OIB 60258288716, Starjak 1, 42230 Vinogradi Ludbreški</izvorni_sadrzaj>
    <derivirana_varijabla naziv="DomainObject.Predmet.ProtustrankaWithAdressOIB_1">Stečajna masa iza PUT društvo s ograničenom odgovornošću za proizvodnju, trgovinu i usluge u likvidaciji, OIB 60258288716, Starjak 1, 42230 Vinogradi Ludbreški</derivirana_varijabla>
  </DomainObject.Predmet.ProtustrankaWithAdressOIB>
  <DomainObject.Predmet.ProtustrankaNazivFormated>
    <izvorni_sadrzaj>Stečajna masa iza PUT društvo s ograničenom odgovornošću za proizvodnju, trgovinu i usluge u likvidaciji</izvorni_sadrzaj>
    <derivirana_varijabla naziv="DomainObject.Predmet.ProtustrankaNazivFormated_1">Stečajna masa iza PUT društvo s ograničenom odgovornošću za proizvodnju, trgovinu i usluge u likvidaciji</derivirana_varijabla>
  </DomainObject.Predmet.ProtustrankaNazivFormated>
  <DomainObject.Predmet.ProtustrankaNazivFormatedOIB>
    <izvorni_sadrzaj>Stečajna masa iza PUT društvo s ograničenom odgovornošću za proizvodnju, trgovinu i usluge u likvidaciji, OIB 60258288716</izvorni_sadrzaj>
    <derivirana_varijabla naziv="DomainObject.Predmet.ProtustrankaNazivFormatedOIB_1">Stečajna masa iza PUT društvo s ograničenom odgovornošću za proizvodnju, trgovinu i usluge u likvidaciji, OIB 60258288716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Lidia Belamarić</izvorni_sadrzaj>
    <derivirana_varijabla naziv="DomainObject.Predmet.StrankaFormated_1">  Lidia Belamarić</derivirana_varijabla>
  </DomainObject.Predmet.StrankaFormated>
  <DomainObject.Predmet.StrankaFormatedOIB>
    <izvorni_sadrzaj>  Lidia Belamarić, OIB 55271144632</izvorni_sadrzaj>
    <derivirana_varijabla naziv="DomainObject.Predmet.StrankaFormatedOIB_1">  Lidia Belamarić, OIB 55271144632</derivirana_varijabla>
  </DomainObject.Predmet.StrankaFormatedOIB>
  <DomainObject.Predmet.StrankaFormatedWithAdress>
    <izvorni_sadrzaj> Lidia Belamarić, Kratka Ulica 2, 42000 Varaždin</izvorni_sadrzaj>
    <derivirana_varijabla naziv="DomainObject.Predmet.StrankaFormatedWithAdress_1"> Lidia Belamarić, Kratka Ulica 2, 42000 Varaždin</derivirana_varijabla>
  </DomainObject.Predmet.StrankaFormatedWithAdress>
  <DomainObject.Predmet.StrankaFormatedWithAdressOIB>
    <izvorni_sadrzaj> Lidia Belamarić, OIB 55271144632, Kratka Ulica 2, 42000 Varaždin</izvorni_sadrzaj>
    <derivirana_varijabla naziv="DomainObject.Predmet.StrankaFormatedWithAdressOIB_1"> Lidia Belamarić, OIB 55271144632, Kratka Ulica 2, 42000 Varaždin</derivirana_varijabla>
  </DomainObject.Predmet.StrankaFormatedWithAdressOIB>
  <DomainObject.Predmet.StrankaWithAdress>
    <izvorni_sadrzaj>Lidia Belamarić Kratka Ulica 2,42000 Varaždin</izvorni_sadrzaj>
    <derivirana_varijabla naziv="DomainObject.Predmet.StrankaWithAdress_1">Lidia Belamarić Kratka Ulica 2,42000 Varaždin</derivirana_varijabla>
  </DomainObject.Predmet.StrankaWithAdress>
  <DomainObject.Predmet.StrankaWithAdressOIB>
    <izvorni_sadrzaj>Lidia Belamarić, OIB 55271144632, Kratka Ulica 2,42000 Varaždin</izvorni_sadrzaj>
    <derivirana_varijabla naziv="DomainObject.Predmet.StrankaWithAdressOIB_1">Lidia Belamarić, OIB 55271144632, Kratka Ulica 2,42000 Varaždin</derivirana_varijabla>
  </DomainObject.Predmet.StrankaWithAdressOIB>
  <DomainObject.Predmet.StrankaNazivFormated>
    <izvorni_sadrzaj>Lidia Belamarić</izvorni_sadrzaj>
    <derivirana_varijabla naziv="DomainObject.Predmet.StrankaNazivFormated_1">Lidia Belamarić</derivirana_varijabla>
  </DomainObject.Predmet.StrankaNazivFormated>
  <DomainObject.Predmet.StrankaNazivFormatedOIB>
    <izvorni_sadrzaj>Lidia Belamarić, OIB 55271144632</izvorni_sadrzaj>
    <derivirana_varijabla naziv="DomainObject.Predmet.StrankaNazivFormatedOIB_1">Lidia Belamarić, OIB 55271144632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Lidia Belamarić</item>
    </izvorni_sadrzaj>
    <derivirana_varijabla naziv="DomainObject.Predmet.StrankaListFormated_1">
      <item>Lidia Belamarić</item>
    </derivirana_varijabla>
  </DomainObject.Predmet.StrankaListFormated>
  <DomainObject.Predmet.StrankaListFormatedOIB>
    <izvorni_sadrzaj>
      <item>Lidia Belamarić, OIB 55271144632</item>
    </izvorni_sadrzaj>
    <derivirana_varijabla naziv="DomainObject.Predmet.StrankaListFormatedOIB_1">
      <item>Lidia Belamarić, OIB 55271144632</item>
    </derivirana_varijabla>
  </DomainObject.Predmet.StrankaListFormatedOIB>
  <DomainObject.Predmet.StrankaListFormatedWithAdress>
    <izvorni_sadrzaj>
      <item>Lidia Belamarić, Kratka Ulica 2, 42000 Varaždin</item>
    </izvorni_sadrzaj>
    <derivirana_varijabla naziv="DomainObject.Predmet.StrankaListFormatedWithAdress_1">
      <item>Lidia Belamarić, Kratka Ulica 2, 42000 Varaždin</item>
    </derivirana_varijabla>
  </DomainObject.Predmet.StrankaListFormatedWithAdress>
  <DomainObject.Predmet.StrankaListFormatedWithAdressOIB>
    <izvorni_sadrzaj>
      <item>Lidia Belamarić, OIB 55271144632, Kratka Ulica 2, 42000 Varaždin</item>
    </izvorni_sadrzaj>
    <derivirana_varijabla naziv="DomainObject.Predmet.StrankaListFormatedWithAdressOIB_1">
      <item>Lidia Belamarić, OIB 55271144632, Kratka Ulica 2, 42000 Varaždin</item>
    </derivirana_varijabla>
  </DomainObject.Predmet.StrankaListFormatedWithAdressOIB>
  <DomainObject.Predmet.StrankaListNazivFormated>
    <izvorni_sadrzaj>
      <item>Lidia Belamarić</item>
    </izvorni_sadrzaj>
    <derivirana_varijabla naziv="DomainObject.Predmet.StrankaListNazivFormated_1">
      <item>Lidia Belamarić</item>
    </derivirana_varijabla>
  </DomainObject.Predmet.StrankaListNazivFormated>
  <DomainObject.Predmet.StrankaListNazivFormatedOIB>
    <izvorni_sadrzaj>
      <item>Lidia Belamarić, OIB 55271144632</item>
    </izvorni_sadrzaj>
    <derivirana_varijabla naziv="DomainObject.Predmet.StrankaListNazivFormatedOIB_1">
      <item>Lidia Belamarić, OIB 55271144632</item>
    </derivirana_varijabla>
  </DomainObject.Predmet.StrankaListNazivFormatedOIB>
  <DomainObject.Predmet.ProtuStrankaListFormated>
    <izvorni_sadrzaj>
      <item>Stečajna masa iza PUT društvo s ograničenom odgovornošću za proizvodnju, trgovinu i usluge u likvidaciji</item>
    </izvorni_sadrzaj>
    <derivirana_varijabla naziv="DomainObject.Predmet.ProtuStrankaListFormated_1">
      <item>Stečajna masa iza PUT društvo s ograničenom odgovornošću za proizvodnju, trgovinu i usluge u likvidaciji</item>
    </derivirana_varijabla>
  </DomainObject.Predmet.ProtuStrankaListFormated>
  <DomainObject.Predmet.ProtuStrankaListFormatedOIB>
    <izvorni_sadrzaj>
      <item>Stečajna masa iza PUT društvo s ograničenom odgovornošću za proizvodnju, trgovinu i usluge u likvidaciji, OIB 60258288716</item>
    </izvorni_sadrzaj>
    <derivirana_varijabla naziv="DomainObject.Predmet.ProtuStrankaListFormatedOIB_1">
      <item>Stečajna masa iza PUT društvo s ograničenom odgovornošću za proizvodnju, trgovinu i usluge u likvidaciji, OIB 60258288716</item>
    </derivirana_varijabla>
  </DomainObject.Predmet.ProtuStrankaListFormatedOIB>
  <DomainObject.Predmet.ProtuStrankaListFormatedWithAdress>
    <izvorni_sadrzaj>
      <item>Stečajna masa iza PUT društvo s ograničenom odgovornošću za proizvodnju, trgovinu i usluge u likvidaciji, Starjak 1, 42230 Vinogradi Ludbreški</item>
    </izvorni_sadrzaj>
    <derivirana_varijabla naziv="DomainObject.Predmet.ProtuStrankaListFormatedWithAdress_1">
      <item>Stečajna masa iza PUT društvo s ograničenom odgovornošću za proizvodnju, trgovinu i usluge u likvidaciji, Starjak 1, 42230 Vinogradi Ludbreški</item>
    </derivirana_varijabla>
  </DomainObject.Predmet.ProtuStrankaListFormatedWithAdress>
  <DomainObject.Predmet.ProtuStrankaListFormatedWithAdressOIB>
    <izvorni_sadrzaj>
      <item>Stečajna masa iza PUT društvo s ograničenom odgovornošću za proizvodnju, trgovinu i usluge u likvidaciji, OIB 60258288716, Starjak 1, 42230 Vinogradi Ludbreški</item>
    </izvorni_sadrzaj>
    <derivirana_varijabla naziv="DomainObject.Predmet.ProtuStrankaListFormatedWithAdressOIB_1">
      <item>Stečajna masa iza PUT društvo s ograničenom odgovornošću za proizvodnju, trgovinu i usluge u likvidaciji, OIB 60258288716, Starjak 1, 42230 Vinogradi Ludbreški</item>
    </derivirana_varijabla>
  </DomainObject.Predmet.ProtuStrankaListFormatedWithAdressOIB>
  <DomainObject.Predmet.ProtuStrankaListNazivFormated>
    <izvorni_sadrzaj>
      <item>Stečajna masa iza PUT društvo s ograničenom odgovornošću za proizvodnju, trgovinu i usluge u likvidaciji</item>
    </izvorni_sadrzaj>
    <derivirana_varijabla naziv="DomainObject.Predmet.ProtuStrankaListNazivFormated_1">
      <item>Stečajna masa iza PUT društvo s ograničenom odgovornošću za proizvodnju, trgovinu i usluge u likvidaciji</item>
    </derivirana_varijabla>
  </DomainObject.Predmet.ProtuStrankaListNazivFormated>
  <DomainObject.Predmet.ProtuStrankaListNazivFormatedOIB>
    <izvorni_sadrzaj>
      <item>Stečajna masa iza PUT društvo s ograničenom odgovornošću za proizvodnju, trgovinu i usluge u likvidaciji, OIB 60258288716</item>
    </izvorni_sadrzaj>
    <derivirana_varijabla naziv="DomainObject.Predmet.ProtuStrankaListNazivFormatedOIB_1">
      <item>Stečajna masa iza PUT društvo s ograničenom odgovornošću za proizvodnju, trgovinu i usluge u likvidaciji, OIB 60258288716</item>
    </derivirana_varijabla>
  </DomainObject.Predmet.ProtuStrankaListNazivFormatedOIB>
  <DomainObject.Predmet.OstaliListFormated>
    <izvorni_sadrzaj>
      <item>Ivo Žiža</item>
      <item>Ministarstvo financija, Porezna uprava, Područni ured Varaždin</item>
      <item>Trgovački sud u Varaždinu, sudski registar</item>
      <item>Županijsko državno odvjetništvo u Varaždinu</item>
    </izvorni_sadrzaj>
    <derivirana_varijabla naziv="DomainObject.Predmet.OstaliListFormated_1">
      <item>Ivo Žiža</item>
      <item>Ministarstvo financija, Porezna uprava, Područni ured Varaždin</item>
      <item>Trgovački sud u Varaždinu, sudski registar</item>
      <item>Županijsko državno odvjetništvo u Varaždinu</item>
    </derivirana_varijabla>
  </DomainObject.Predmet.OstaliListFormated>
  <DomainObject.Predmet.OstaliListFormatedOIB>
    <izvorni_sadrzaj>
      <item>Ivo Žiža</item>
      <item>Ministarstvo financija, Porezna uprava, Područni ured Varaždin</item>
      <item>Trgovački sud u Varaždinu, sudski registar, OIB 07397915111</item>
      <item>Županijsko državno odvjetništvo u Varaždinu</item>
    </izvorni_sadrzaj>
    <derivirana_varijabla naziv="DomainObject.Predmet.OstaliListFormatedOIB_1">
      <item>Ivo Žiža</item>
      <item>Ministarstvo financija, Porezna uprava, Područni ured Varaždin</item>
      <item>Trgovački sud u Varaždinu, sudski registar, OIB 07397915111</item>
      <item>Županijsko državno odvjetništvo u Varaždinu</item>
    </derivirana_varijabla>
  </DomainObject.Predmet.OstaliListFormatedOIB>
  <DomainObject.Predmet.OstaliListFormatedWithAdress>
    <izvorni_sadrzaj>
      <item>Ivo Žiža</item>
      <item>Ministarstvo financija, Porezna uprava, Područni ured Varaždin, Graberje 1, 42000 Varaždin</item>
      <item>Trgovački sud u Varaždinu, sudski registar, Braće Radića 2, 42000 Varaždin</item>
      <item>Županijsko državno odvjetništvo u Varaždinu, Braće Radića 2, 42000 Varaždin</item>
    </izvorni_sadrzaj>
    <derivirana_varijabla naziv="DomainObject.Predmet.OstaliListFormatedWithAdress_1">
      <item>Ivo Žiža</item>
      <item>Ministarstvo financija, Porezna uprava, Područni ured Varaždin, Graberje 1, 42000 Varaždin</item>
      <item>Trgovački sud u Varaždinu, sudski registar, Braće Radića 2, 42000 Varaždin</item>
      <item>Županijsko državno odvjetništvo u Varaždinu, Braće Radića 2, 42000 Varaždin</item>
    </derivirana_varijabla>
  </DomainObject.Predmet.OstaliListFormatedWithAdress>
  <DomainObject.Predmet.OstaliListFormatedWithAdressOIB>
    <izvorni_sadrzaj>
      <item>Ivo Žiža</item>
      <item>Ministarstvo financija, Porezna uprava, Područni ured Varaždin, Graberje 1, 42000 Varaždin</item>
      <item>Trgovački sud u Varaždinu, sudski registar, OIB 07397915111, Braće Radića 2, 42000 Varaždin</item>
      <item>Županijsko državno odvjetništvo u Varaždinu, Braće Radića 2, 42000 Varaždin</item>
    </izvorni_sadrzaj>
    <derivirana_varijabla naziv="DomainObject.Predmet.OstaliListFormatedWithAdressOIB_1">
      <item>Ivo Žiža</item>
      <item>Ministarstvo financija, Porezna uprava, Područni ured Varaždin, Graberje 1, 42000 Varaždin</item>
      <item>Trgovački sud u Varaždinu, sudski registar, OIB 07397915111, Braće Radića 2, 42000 Varaždin</item>
      <item>Županijsko državno odvjetništvo u Varaždinu, Braće Radića 2, 42000 Varaždin</item>
    </derivirana_varijabla>
  </DomainObject.Predmet.OstaliListFormatedWithAdressOIB>
  <DomainObject.Predmet.OstaliListNazivFormated>
    <izvorni_sadrzaj>
      <item>Ivo Žiža</item>
      <item>Ministarstvo financija, Porezna uprava, Područni ured Varaždin</item>
      <item>Trgovački sud u Varaždinu, sudski registar</item>
      <item>Županijsko državno odvjetništvo u Varaždinu</item>
    </izvorni_sadrzaj>
    <derivirana_varijabla naziv="DomainObject.Predmet.OstaliListNazivFormated_1">
      <item>Ivo Žiža</item>
      <item>Ministarstvo financija, Porezna uprava, Područni ured Varaždin</item>
      <item>Trgovački sud u Varaždinu, sudski registar</item>
      <item>Županijsko državno odvjetništvo u Varaždinu</item>
    </derivirana_varijabla>
  </DomainObject.Predmet.OstaliListNazivFormated>
  <DomainObject.Predmet.OstaliListNazivFormatedOIB>
    <izvorni_sadrzaj>
      <item>Ivo Žiža</item>
      <item>Ministarstvo financija, Porezna uprava, Područni ured Varaždin</item>
      <item>Trgovački sud u Varaždinu, sudski registar, OIB 07397915111</item>
      <item>Županijsko državno odvjetništvo u Varaždinu</item>
    </izvorni_sadrzaj>
    <derivirana_varijabla naziv="DomainObject.Predmet.OstaliListNazivFormatedOIB_1">
      <item>Ivo Žiža</item>
      <item>Ministarstvo financija, Porezna uprava, Područni ured Varaždin</item>
      <item>Trgovački sud u Varaždinu, sudski registar, OIB 07397915111</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2024.</izvorni_sadrzaj>
    <derivirana_varijabla naziv="DomainObject.Datum_1">12. siječnja 2024.</derivirana_varijabla>
  </DomainObject.Datum>
  <DomainObject.PoslovniBrojDokumenta>
    <izvorni_sadrzaj>St-351/2023-27</izvorni_sadrzaj>
    <derivirana_varijabla naziv="DomainObject.PoslovniBrojDokumenta_1">St-351/2023-27</derivirana_varijabla>
  </DomainObject.PoslovniBrojDokumenta>
  <DomainObject.Predmet.StrankaIDrugi>
    <izvorni_sadrzaj>Lidia Belamarić</izvorni_sadrzaj>
    <derivirana_varijabla naziv="DomainObject.Predmet.StrankaIDrugi_1">Lidia Belamarić</derivirana_varijabla>
  </DomainObject.Predmet.StrankaIDrugi>
  <DomainObject.Predmet.ProtustrankaIDrugi>
    <izvorni_sadrzaj>Stečajna masa iza PUT društvo s ograničenom odgovornošću za proizvodnju, trgovinu i usluge u likvidaciji</izvorni_sadrzaj>
    <derivirana_varijabla naziv="DomainObject.Predmet.ProtustrankaIDrugi_1">Stečajna masa iza PUT društvo s ograničenom odgovornošću za proizvodnju, trgovinu i usluge u likvidaciji</derivirana_varijabla>
  </DomainObject.Predmet.ProtustrankaIDrugi>
  <DomainObject.Predmet.StrankaIDrugiAdressOIB>
    <izvorni_sadrzaj>Lidia Belamarić, OIB 55271144632, Kratka Ulica 2, 42000 Varaždin</izvorni_sadrzaj>
    <derivirana_varijabla naziv="DomainObject.Predmet.StrankaIDrugiAdressOIB_1">Lidia Belamarić, OIB 55271144632, Kratka Ulica 2, 42000 Varaždin</derivirana_varijabla>
  </DomainObject.Predmet.StrankaIDrugiAdressOIB>
  <DomainObject.Predmet.ProtustrankaIDrugiAdressOIB>
    <izvorni_sadrzaj>Stečajna masa iza PUT društvo s ograničenom odgovornošću za proizvodnju, trgovinu i usluge u likvidaciji, OIB 60258288716, Starjak 1, 42230 Vinogradi Ludbreški</izvorni_sadrzaj>
    <derivirana_varijabla naziv="DomainObject.Predmet.ProtustrankaIDrugiAdressOIB_1">Stečajna masa iza PUT društvo s ograničenom odgovornošću za proizvodnju, trgovinu i usluge u likvidaciji, OIB 60258288716, Starjak 1, 42230 Vinogradi Ludbreški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PUT društvo s ograničenom odgovornošću za proizvodnju, trgovinu i usluge u likvidaciji</item>
      <item>Lidia Belamarić</item>
      <item>Ivo Žiža</item>
      <item>Ministarstvo financija, Porezna uprava, Područni ured Varaždin</item>
      <item>Trgovački sud u Varaždinu, sudski registar</item>
      <item>Županijsko državno odvjetništvo u Varaždinu</item>
    </izvorni_sadrzaj>
    <derivirana_varijabla naziv="DomainObject.Predmet.SudioniciListNaziv_1">
      <item>Stečajna masa iza PUT društvo s ograničenom odgovornošću za proizvodnju, trgovinu i usluge u likvidaciji</item>
      <item>Lidia Belamarić</item>
      <item>Ivo Žiža</item>
      <item>Ministarstvo financija, Porezna uprava, Područni ured Varaždin</item>
      <item>Trgovački sud u Varaždinu, sudski registar</item>
      <item>Županijsko državno odvjetništvo u Varaždinu</item>
    </derivirana_varijabla>
  </DomainObject.Predmet.SudioniciListNaziv>
  <DomainObject.Predmet.SudioniciListAdressOIB>
    <izvorni_sadrzaj>
      <item>Stečajna masa iza PUT društvo s ograničenom odgovornošću za proizvodnju, trgovinu i usluge u likvidaciji, OIB 60258288716, Starjak 1,42230 Vinogradi Ludbreški</item>
      <item>Lidia Belamarić, OIB 55271144632, Kratka Ulica 2,42000 Varaždin</item>
      <item>Ivo Žiža</item>
      <item>Ministarstvo financija, Porezna uprava, Područni ured Varaždin, Graberje 1,42000 Varaždin</item>
      <item>Trgovački sud u Varaždinu, sudski registar, OIB 07397915111, Braće Radića 2,42000 Varaždin</item>
      <item>Županijsko državno odvjetništvo u Varaždinu, Braće Radića 2,42000 Varaždin</item>
    </izvorni_sadrzaj>
    <derivirana_varijabla naziv="DomainObject.Predmet.SudioniciListAdressOIB_1">
      <item>Stečajna masa iza PUT društvo s ograničenom odgovornošću za proizvodnju, trgovinu i usluge u likvidaciji, OIB 60258288716, Starjak 1,42230 Vinogradi Ludbreški</item>
      <item>Lidia Belamarić, OIB 55271144632, Kratka Ulica 2,42000 Varaždin</item>
      <item>Ivo Žiža</item>
      <item>Ministarstvo financija, Porezna uprava, Područni ured Varaždin, Graberje 1,42000 Varaždin</item>
      <item>Trgovački sud u Varaždinu, sudski registar, OIB 07397915111, Braće Radića 2,42000 Varaždin</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60258288716</item>
      <item>, OIB 55271144632</item>
      <item>, OIB null</item>
      <item>, OIB null</item>
      <item>, OIB 07397915111</item>
      <item>, OIB null</item>
    </izvorni_sadrzaj>
    <derivirana_varijabla naziv="DomainObject.Predmet.SudioniciListNazivOIB_1">
      <item>, OIB 60258288716</item>
      <item>, OIB 55271144632</item>
      <item>, OIB null</item>
      <item>, OIB null</item>
      <item>, OIB 07397915111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Starjak 1, Vinogradi Ludbreški , 42230 Ludbreg</item>
    </izvorni_sadrzaj>
    <derivirana_varijabla naziv="DomainObject.Predmet.StecajniUpraviteljiListAddressOIB_1">
      <item>Ivo Žiža, OIB 08163835361,  Starjak 1, Vinogradi Ludbreški , 42230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kolovoza 2023.</izvorni_sadrzaj>
    <derivirana_varijabla naziv="DomainObject.Predmet.DatumPocetkaProcesa_1">14.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FE329B-F432-4473-A1C6-019EE0C4DEF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816</properties:Words>
  <properties:Characters>4429</properties:Characters>
  <properties:Lines>209</properties:Lines>
  <properties:Paragraphs>77</properties:Paragraphs>
  <properties:TotalTime>174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2024-01-12T09:11:00Z</dcterms:modified>
  <cp:revision>45</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St-351/2023-27 / Zapisnik - Ispitno ročište (St-351-23-27 Zapisnik sa ispitnog i izvještajnog ročišta-nema osporenih.docx)</vt:lpwstr>
  </prop:property>
  <prop:property fmtid="{D5CDD505-2E9C-101B-9397-08002B2CF9AE}" pid="4" name="CC_coloring">
    <vt:bool>false</vt:bool>
  </prop:property>
  <prop:property fmtid="{D5CDD505-2E9C-101B-9397-08002B2CF9AE}" pid="5" name="BrojStranica">
    <vt:i4>4</vt:i4>
  </prop:property>
</prop:Properties>
</file>